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F1774">
        <w:rPr>
          <w:rFonts w:ascii="Arial" w:hAnsi="Arial" w:cs="Arial"/>
          <w:b/>
          <w:sz w:val="20"/>
          <w:szCs w:val="20"/>
        </w:rPr>
        <w:t>4.818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750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2F5005">
        <w:rPr>
          <w:rFonts w:ascii="Arial" w:hAnsi="Arial" w:cs="Arial"/>
          <w:b/>
          <w:sz w:val="20"/>
          <w:szCs w:val="20"/>
        </w:rPr>
        <w:t>2006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1774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 índice para atualização de débitos vencidos inscritos em Dívida Ativa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CONFERIDAS POR L</w:t>
      </w:r>
      <w:r w:rsidR="004B7500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4B750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E A VISTA DO CONTIDO NO PROCESSO INTERNO Nº 002/2006-D.D.A.</w:t>
      </w:r>
      <w:r w:rsidR="00C3568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B5A1A">
        <w:rPr>
          <w:rFonts w:ascii="Arial" w:hAnsi="Arial" w:cs="Arial"/>
          <w:sz w:val="20"/>
          <w:szCs w:val="20"/>
        </w:rPr>
        <w:t xml:space="preserve">O índice a ser aplicado para atualização de </w:t>
      </w:r>
      <w:r w:rsidR="0049494F">
        <w:rPr>
          <w:rFonts w:ascii="Arial" w:hAnsi="Arial" w:cs="Arial"/>
          <w:sz w:val="20"/>
          <w:szCs w:val="20"/>
        </w:rPr>
        <w:t>débitos vencidos inscritos em Dívida Ativa, instituído nos termos do artigo 306 da Lei Complementar nº 163, de 30 de setembro de 2005 (CTM), para o exercício de 2006, será fixado em 7,41%</w:t>
      </w:r>
      <w:r w:rsidR="004B7500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49494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750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94F">
        <w:rPr>
          <w:rFonts w:ascii="Arial" w:hAnsi="Arial" w:cs="Arial"/>
          <w:sz w:val="20"/>
          <w:szCs w:val="20"/>
        </w:rPr>
        <w:t>2006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de Administração 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005"/>
    <w:rsid w:val="002F5331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94F"/>
    <w:rsid w:val="00494EF0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5A1A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2019-04-25T16:19:00Z</dcterms:created>
  <dcterms:modified xsi:type="dcterms:W3CDTF">2019-04-25T20:15:00Z</dcterms:modified>
</cp:coreProperties>
</file>